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37FF" w14:textId="62131CD9" w:rsidR="00BE73E2" w:rsidRPr="00493B3B" w:rsidRDefault="00FE6BE8" w:rsidP="00BE73E2">
      <w:pPr>
        <w:rPr>
          <w:rFonts w:ascii="Arial" w:hAnsi="Arial"/>
          <w:b/>
          <w:spacing w:val="-6"/>
          <w:kern w:val="0"/>
          <w:sz w:val="30"/>
          <w:szCs w:val="30"/>
          <w:lang w:eastAsia="es-ES"/>
        </w:rPr>
      </w:pPr>
      <w:r w:rsidRPr="00493B3B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>INDRA GROUP</w:t>
      </w:r>
      <w:r w:rsidR="008058E1" w:rsidRPr="00493B3B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</w:t>
      </w:r>
      <w:r w:rsidR="00962307" w:rsidRPr="00493B3B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>SE CONVIERTE EN REFERENTE EUROPEO EN ESPACIO</w:t>
      </w:r>
      <w:r w:rsidR="00962307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>:</w:t>
      </w:r>
      <w:r w:rsidR="00962307" w:rsidRPr="00493B3B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</w:t>
      </w:r>
      <w:r w:rsidR="00657F36" w:rsidRPr="00493B3B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>CIERRA LA</w:t>
      </w:r>
      <w:r w:rsidRPr="00493B3B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ADQUISICIÓN DEL 89,68% DE HISPASAT</w:t>
      </w:r>
      <w:r w:rsidR="00962307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Y</w:t>
      </w:r>
      <w:r w:rsidR="00F2234F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</w:t>
      </w:r>
      <w:r w:rsidR="008018C7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ALCANZA </w:t>
      </w:r>
      <w:r w:rsidR="007F387C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UNA PARTICIPACIÓN </w:t>
      </w:r>
      <w:r w:rsidR="008018C7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>MAYOR</w:t>
      </w:r>
      <w:r w:rsidR="007F387C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>ITARIA EN</w:t>
      </w:r>
      <w:r w:rsidR="008018C7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HISDESAT</w:t>
      </w:r>
      <w:r w:rsidR="00F2234F">
        <w:rPr>
          <w:rFonts w:ascii="Arial" w:hAnsi="Arial"/>
          <w:b/>
          <w:spacing w:val="-6"/>
          <w:kern w:val="0"/>
          <w:sz w:val="30"/>
          <w:szCs w:val="30"/>
          <w:lang w:eastAsia="es-ES"/>
        </w:rPr>
        <w:t xml:space="preserve"> </w:t>
      </w:r>
    </w:p>
    <w:p w14:paraId="308D9939" w14:textId="77777777" w:rsidR="00BE73E2" w:rsidRPr="00901B4B" w:rsidRDefault="00BE73E2" w:rsidP="00BE73E2">
      <w:pPr>
        <w:rPr>
          <w:noProof/>
          <w:color w:val="FF0000"/>
        </w:rPr>
      </w:pPr>
      <w:bookmarkStart w:id="0" w:name="_Hlk181687409"/>
    </w:p>
    <w:p w14:paraId="56AEE12E" w14:textId="77777777" w:rsidR="003F2D42" w:rsidRDefault="003F2D42" w:rsidP="003F2D42">
      <w:pPr>
        <w:pStyle w:val="Listaconvietas"/>
        <w:numPr>
          <w:ilvl w:val="0"/>
          <w:numId w:val="16"/>
        </w:numPr>
        <w:rPr>
          <w:lang w:eastAsia="es-ES"/>
        </w:rPr>
      </w:pPr>
      <w:r>
        <w:rPr>
          <w:lang w:eastAsia="es-ES"/>
        </w:rPr>
        <w:t>La adquisición refuerza la posición de Indra Group en el sector espacial, clave para la soberanía nacional y europea, y amplía las capacidades del grupo en defensa, comunicaciones seguras</w:t>
      </w:r>
      <w:r w:rsidRPr="00CC0E42">
        <w:rPr>
          <w:lang w:eastAsia="es-ES"/>
        </w:rPr>
        <w:t xml:space="preserve"> </w:t>
      </w:r>
      <w:r>
        <w:rPr>
          <w:lang w:eastAsia="es-ES"/>
        </w:rPr>
        <w:t>y servicios satelitales</w:t>
      </w:r>
    </w:p>
    <w:p w14:paraId="18CAB170" w14:textId="739BF5E7" w:rsidR="00D62C00" w:rsidRPr="00AA7F3F" w:rsidRDefault="00D62C00" w:rsidP="00D62C00">
      <w:pPr>
        <w:pStyle w:val="Listaconvietas"/>
        <w:numPr>
          <w:ilvl w:val="0"/>
          <w:numId w:val="16"/>
        </w:numPr>
        <w:rPr>
          <w:bCs/>
        </w:rPr>
      </w:pPr>
      <w:r>
        <w:rPr>
          <w:lang w:eastAsia="es-ES"/>
        </w:rPr>
        <w:t xml:space="preserve">La </w:t>
      </w:r>
      <w:r w:rsidR="00D74B11">
        <w:rPr>
          <w:lang w:eastAsia="es-ES"/>
        </w:rPr>
        <w:t>operac</w:t>
      </w:r>
      <w:r>
        <w:rPr>
          <w:lang w:eastAsia="es-ES"/>
        </w:rPr>
        <w:t xml:space="preserve">ión </w:t>
      </w:r>
      <w:r w:rsidR="00E20537">
        <w:rPr>
          <w:lang w:eastAsia="es-ES"/>
        </w:rPr>
        <w:t>supone</w:t>
      </w:r>
      <w:r>
        <w:rPr>
          <w:lang w:eastAsia="es-ES"/>
        </w:rPr>
        <w:t xml:space="preserve"> la toma de control y </w:t>
      </w:r>
      <w:r w:rsidR="00047EE5">
        <w:rPr>
          <w:lang w:eastAsia="es-ES"/>
        </w:rPr>
        <w:t xml:space="preserve">la </w:t>
      </w:r>
      <w:r>
        <w:rPr>
          <w:lang w:eastAsia="es-ES"/>
        </w:rPr>
        <w:t>consolidación contable en el grupo</w:t>
      </w:r>
      <w:r w:rsidR="001F74A4" w:rsidRPr="001F74A4">
        <w:rPr>
          <w:lang w:eastAsia="es-ES"/>
        </w:rPr>
        <w:t xml:space="preserve"> </w:t>
      </w:r>
      <w:r w:rsidR="001F74A4">
        <w:rPr>
          <w:lang w:eastAsia="es-ES"/>
        </w:rPr>
        <w:t>de Hisdesat</w:t>
      </w:r>
      <w:r w:rsidR="00047EE5">
        <w:rPr>
          <w:lang w:eastAsia="es-ES"/>
        </w:rPr>
        <w:t xml:space="preserve">, </w:t>
      </w:r>
      <w:r w:rsidR="0064177A" w:rsidRPr="0064177A">
        <w:rPr>
          <w:lang w:eastAsia="es-ES"/>
        </w:rPr>
        <w:t>operador de servicios gubernamentales por satélite en las áreas de defensa, seguridad, inteligencia y asuntos exteriores</w:t>
      </w:r>
    </w:p>
    <w:p w14:paraId="3637746D" w14:textId="77777777" w:rsidR="00AA7F3F" w:rsidRPr="00AA7F3F" w:rsidRDefault="00AA7F3F" w:rsidP="00AA7F3F">
      <w:pPr>
        <w:pStyle w:val="Listaconvietas"/>
        <w:numPr>
          <w:ilvl w:val="0"/>
          <w:numId w:val="0"/>
        </w:numPr>
        <w:ind w:left="360"/>
        <w:rPr>
          <w:bCs/>
        </w:rPr>
      </w:pPr>
    </w:p>
    <w:p w14:paraId="61B1E52B" w14:textId="49C7A44A" w:rsidR="003E7D25" w:rsidRDefault="00FE6BE8" w:rsidP="003E7D25">
      <w:pPr>
        <w:rPr>
          <w:noProof/>
        </w:rPr>
      </w:pPr>
      <w:r>
        <w:rPr>
          <w:b/>
          <w:bCs/>
          <w:noProof/>
        </w:rPr>
        <w:t>Madrid</w:t>
      </w:r>
      <w:r w:rsidR="00BE73E2" w:rsidRPr="00BE73E2">
        <w:rPr>
          <w:b/>
          <w:bCs/>
          <w:noProof/>
        </w:rPr>
        <w:t xml:space="preserve">, </w:t>
      </w:r>
      <w:r w:rsidR="00C32BAD">
        <w:rPr>
          <w:b/>
          <w:bCs/>
          <w:noProof/>
        </w:rPr>
        <w:t>30</w:t>
      </w:r>
      <w:r w:rsidR="00BE73E2" w:rsidRPr="00BE73E2">
        <w:rPr>
          <w:b/>
          <w:bCs/>
          <w:noProof/>
        </w:rPr>
        <w:t xml:space="preserve"> de </w:t>
      </w:r>
      <w:r w:rsidR="00045359">
        <w:rPr>
          <w:b/>
          <w:bCs/>
          <w:noProof/>
        </w:rPr>
        <w:t>diciembre</w:t>
      </w:r>
      <w:r w:rsidR="00BE73E2" w:rsidRPr="00BE73E2">
        <w:rPr>
          <w:b/>
          <w:bCs/>
          <w:noProof/>
        </w:rPr>
        <w:t xml:space="preserve"> de </w:t>
      </w:r>
      <w:r>
        <w:rPr>
          <w:b/>
          <w:bCs/>
          <w:noProof/>
        </w:rPr>
        <w:t>2025</w:t>
      </w:r>
      <w:r w:rsidR="00BE73E2" w:rsidRPr="00BE73E2">
        <w:rPr>
          <w:b/>
          <w:bCs/>
          <w:noProof/>
        </w:rPr>
        <w:t>. –</w:t>
      </w:r>
      <w:r w:rsidR="00BE73E2">
        <w:rPr>
          <w:noProof/>
        </w:rPr>
        <w:t xml:space="preserve"> </w:t>
      </w:r>
      <w:r>
        <w:rPr>
          <w:noProof/>
        </w:rPr>
        <w:t xml:space="preserve">Indra Group </w:t>
      </w:r>
      <w:r w:rsidR="00B4267D">
        <w:rPr>
          <w:noProof/>
        </w:rPr>
        <w:t>se ha convertido en un</w:t>
      </w:r>
      <w:r w:rsidR="00F96254">
        <w:rPr>
          <w:noProof/>
        </w:rPr>
        <w:t xml:space="preserve">o de los principales actores del sector espacial en Europa tras el cierre formal </w:t>
      </w:r>
      <w:r w:rsidR="003146C9">
        <w:rPr>
          <w:noProof/>
        </w:rPr>
        <w:t>de la adquisición del 89,68% del capital social de Hispasat</w:t>
      </w:r>
      <w:r w:rsidR="005D6154">
        <w:rPr>
          <w:noProof/>
        </w:rPr>
        <w:t xml:space="preserve">. </w:t>
      </w:r>
      <w:r w:rsidR="003E7D25">
        <w:rPr>
          <w:noProof/>
        </w:rPr>
        <w:t xml:space="preserve">La operación permite a Indra Group alcanzar </w:t>
      </w:r>
      <w:r w:rsidR="00225ADB">
        <w:rPr>
          <w:noProof/>
        </w:rPr>
        <w:t>una participación de control en</w:t>
      </w:r>
      <w:r w:rsidR="003E7D25">
        <w:rPr>
          <w:noProof/>
        </w:rPr>
        <w:t xml:space="preserve"> Hisd</w:t>
      </w:r>
      <w:r w:rsidR="00794EE5">
        <w:rPr>
          <w:noProof/>
        </w:rPr>
        <w:t>e</w:t>
      </w:r>
      <w:r w:rsidR="003E7D25">
        <w:rPr>
          <w:noProof/>
        </w:rPr>
        <w:t xml:space="preserve">sat </w:t>
      </w:r>
      <w:r w:rsidR="003E7D25" w:rsidRPr="00216FBB">
        <w:rPr>
          <w:noProof/>
        </w:rPr>
        <w:t xml:space="preserve">y </w:t>
      </w:r>
      <w:r w:rsidR="003E7D25">
        <w:rPr>
          <w:noProof/>
        </w:rPr>
        <w:t>con</w:t>
      </w:r>
      <w:r w:rsidR="003E7D25" w:rsidRPr="00216FBB">
        <w:rPr>
          <w:noProof/>
        </w:rPr>
        <w:t>solida</w:t>
      </w:r>
      <w:r w:rsidR="003E7D25">
        <w:rPr>
          <w:noProof/>
        </w:rPr>
        <w:t>r</w:t>
      </w:r>
      <w:r w:rsidR="00E042BE">
        <w:rPr>
          <w:noProof/>
        </w:rPr>
        <w:t xml:space="preserve"> dicha sociedad en el grupo</w:t>
      </w:r>
      <w:r w:rsidR="003E7D25">
        <w:rPr>
          <w:noProof/>
        </w:rPr>
        <w:t>.</w:t>
      </w:r>
      <w:r w:rsidR="003E7D25" w:rsidRPr="00216FBB">
        <w:rPr>
          <w:noProof/>
        </w:rPr>
        <w:t xml:space="preserve"> </w:t>
      </w:r>
    </w:p>
    <w:p w14:paraId="79EE4F1C" w14:textId="20390B01" w:rsidR="0094471E" w:rsidRDefault="001619B8" w:rsidP="0094471E">
      <w:pPr>
        <w:rPr>
          <w:noProof/>
        </w:rPr>
      </w:pPr>
      <w:r w:rsidRPr="001619B8">
        <w:rPr>
          <w:noProof/>
        </w:rPr>
        <w:t xml:space="preserve">Representantes de </w:t>
      </w:r>
      <w:r w:rsidR="0094471E" w:rsidRPr="001619B8">
        <w:rPr>
          <w:noProof/>
        </w:rPr>
        <w:t>Indra Group</w:t>
      </w:r>
      <w:r w:rsidRPr="001619B8">
        <w:rPr>
          <w:noProof/>
        </w:rPr>
        <w:t xml:space="preserve"> y</w:t>
      </w:r>
      <w:r w:rsidR="0094471E" w:rsidRPr="001619B8">
        <w:rPr>
          <w:noProof/>
        </w:rPr>
        <w:t xml:space="preserve"> Redeia han f</w:t>
      </w:r>
      <w:r w:rsidR="00E042BE" w:rsidRPr="001619B8">
        <w:rPr>
          <w:noProof/>
        </w:rPr>
        <w:t>ormalizado</w:t>
      </w:r>
      <w:r w:rsidR="0094471E" w:rsidRPr="001619B8">
        <w:rPr>
          <w:noProof/>
        </w:rPr>
        <w:t xml:space="preserve"> </w:t>
      </w:r>
      <w:r w:rsidR="0094471E" w:rsidRPr="00E52A0F">
        <w:rPr>
          <w:noProof/>
        </w:rPr>
        <w:t>el cierre de la compraventa,</w:t>
      </w:r>
      <w:r w:rsidR="00BB07D9">
        <w:rPr>
          <w:noProof/>
        </w:rPr>
        <w:t xml:space="preserve"> una vez cumplidas</w:t>
      </w:r>
      <w:r w:rsidR="0094471E" w:rsidRPr="00E52A0F">
        <w:rPr>
          <w:noProof/>
        </w:rPr>
        <w:t xml:space="preserve"> las condiciones </w:t>
      </w:r>
      <w:r w:rsidR="00E06509">
        <w:rPr>
          <w:noProof/>
        </w:rPr>
        <w:t>suspensivas</w:t>
      </w:r>
      <w:r w:rsidR="00825F77">
        <w:rPr>
          <w:noProof/>
        </w:rPr>
        <w:t>,</w:t>
      </w:r>
      <w:r w:rsidR="00E06509">
        <w:rPr>
          <w:noProof/>
        </w:rPr>
        <w:t xml:space="preserve"> </w:t>
      </w:r>
      <w:r w:rsidR="006573FA" w:rsidRPr="006573FA">
        <w:rPr>
          <w:noProof/>
        </w:rPr>
        <w:t xml:space="preserve">de carácter esencialmente regulatorio, </w:t>
      </w:r>
      <w:r w:rsidR="0094471E" w:rsidRPr="00E52A0F">
        <w:rPr>
          <w:noProof/>
        </w:rPr>
        <w:t xml:space="preserve">necesarias </w:t>
      </w:r>
      <w:r w:rsidR="00E06509">
        <w:rPr>
          <w:noProof/>
        </w:rPr>
        <w:t>en los diferentes países en los que opera Hispasat</w:t>
      </w:r>
      <w:r w:rsidR="00BB07D9">
        <w:rPr>
          <w:noProof/>
        </w:rPr>
        <w:t>,</w:t>
      </w:r>
      <w:r w:rsidR="00E06509">
        <w:rPr>
          <w:noProof/>
        </w:rPr>
        <w:t xml:space="preserve"> </w:t>
      </w:r>
      <w:r w:rsidR="0094471E" w:rsidRPr="00E52A0F">
        <w:rPr>
          <w:noProof/>
        </w:rPr>
        <w:t xml:space="preserve">y </w:t>
      </w:r>
      <w:r w:rsidR="00C41089">
        <w:rPr>
          <w:noProof/>
        </w:rPr>
        <w:t xml:space="preserve">tras </w:t>
      </w:r>
      <w:r w:rsidR="0094471E" w:rsidRPr="00E52A0F">
        <w:rPr>
          <w:noProof/>
        </w:rPr>
        <w:t>ser aprobada la operación por el Consejo de Ministros</w:t>
      </w:r>
      <w:r w:rsidR="00A67BA8">
        <w:rPr>
          <w:noProof/>
        </w:rPr>
        <w:t xml:space="preserve">, el </w:t>
      </w:r>
      <w:r w:rsidR="003F2D42" w:rsidRPr="003F2D42">
        <w:rPr>
          <w:noProof/>
        </w:rPr>
        <w:t>16</w:t>
      </w:r>
      <w:r w:rsidR="00A67BA8" w:rsidRPr="003F2D42">
        <w:rPr>
          <w:noProof/>
        </w:rPr>
        <w:t xml:space="preserve"> </w:t>
      </w:r>
      <w:r w:rsidR="00A67BA8">
        <w:rPr>
          <w:noProof/>
        </w:rPr>
        <w:t>de diciembre,</w:t>
      </w:r>
      <w:r w:rsidR="0094471E" w:rsidRPr="00E52A0F">
        <w:rPr>
          <w:noProof/>
        </w:rPr>
        <w:t xml:space="preserve"> y </w:t>
      </w:r>
      <w:r w:rsidR="00A67BA8">
        <w:rPr>
          <w:noProof/>
        </w:rPr>
        <w:t xml:space="preserve">por </w:t>
      </w:r>
      <w:r w:rsidR="0094471E" w:rsidRPr="00E52A0F">
        <w:rPr>
          <w:noProof/>
        </w:rPr>
        <w:t>la Junta General de Accionistas de Indra Group</w:t>
      </w:r>
      <w:r w:rsidR="00A67BA8">
        <w:rPr>
          <w:noProof/>
        </w:rPr>
        <w:t xml:space="preserve">, el pasado </w:t>
      </w:r>
      <w:r w:rsidR="00FD7ADC">
        <w:rPr>
          <w:noProof/>
        </w:rPr>
        <w:t>28</w:t>
      </w:r>
      <w:r w:rsidR="00A67BA8">
        <w:rPr>
          <w:noProof/>
        </w:rPr>
        <w:t xml:space="preserve"> de noviembre.</w:t>
      </w:r>
    </w:p>
    <w:bookmarkEnd w:id="0"/>
    <w:p w14:paraId="02CD147B" w14:textId="25645DF4" w:rsidR="008C1E4C" w:rsidRDefault="00005D89" w:rsidP="00962307">
      <w:r>
        <w:t xml:space="preserve">“Con esta operación, </w:t>
      </w:r>
      <w:r w:rsidR="00077D39">
        <w:t>da</w:t>
      </w:r>
      <w:r w:rsidR="00AF33DB">
        <w:t>mos</w:t>
      </w:r>
      <w:r w:rsidR="008C1E4C">
        <w:t xml:space="preserve"> </w:t>
      </w:r>
      <w:r w:rsidR="007E0CAC">
        <w:t xml:space="preserve">un nuevo paso en </w:t>
      </w:r>
      <w:r w:rsidR="00AF33DB">
        <w:t xml:space="preserve">nuestro </w:t>
      </w:r>
      <w:r w:rsidR="007E0CAC">
        <w:t>objetivo de convertir</w:t>
      </w:r>
      <w:r w:rsidR="00AF33DB">
        <w:t xml:space="preserve"> a Indra Group</w:t>
      </w:r>
      <w:r w:rsidR="007E0CAC">
        <w:t xml:space="preserve"> en un actor único en Europa</w:t>
      </w:r>
      <w:r w:rsidR="00AF33DB">
        <w:t xml:space="preserve"> en el sector espacial</w:t>
      </w:r>
      <w:r w:rsidR="007E0CAC">
        <w:t xml:space="preserve">, con </w:t>
      </w:r>
      <w:r w:rsidR="00915FCB">
        <w:t xml:space="preserve">capacidades end-to-end </w:t>
      </w:r>
      <w:r w:rsidR="00AF33DB">
        <w:t xml:space="preserve">en toda la cadena de valor </w:t>
      </w:r>
      <w:r w:rsidR="00915FCB">
        <w:t>e impacto civil y militar</w:t>
      </w:r>
      <w:r w:rsidR="00AF33DB">
        <w:t xml:space="preserve">. </w:t>
      </w:r>
      <w:r w:rsidR="0051292B">
        <w:t xml:space="preserve">Como </w:t>
      </w:r>
      <w:r w:rsidR="0051292B" w:rsidRPr="00063C0E">
        <w:t>operadores de satélites de alta tecnología</w:t>
      </w:r>
      <w:r w:rsidR="0051292B">
        <w:t>,</w:t>
      </w:r>
      <w:r w:rsidR="0051292B" w:rsidRPr="00063C0E">
        <w:t xml:space="preserve"> </w:t>
      </w:r>
      <w:r w:rsidR="00AF33DB">
        <w:t>Hispasat e Hisdesat</w:t>
      </w:r>
      <w:r w:rsidR="0051292B">
        <w:t xml:space="preserve"> nos ayudará</w:t>
      </w:r>
      <w:r w:rsidR="00E14D0E">
        <w:t>n</w:t>
      </w:r>
      <w:r w:rsidR="0051292B">
        <w:t xml:space="preserve"> a </w:t>
      </w:r>
      <w:r w:rsidR="006316A1">
        <w:t>incrementa</w:t>
      </w:r>
      <w:r w:rsidR="0051292B">
        <w:t>r</w:t>
      </w:r>
      <w:r w:rsidR="006316A1">
        <w:t xml:space="preserve"> nuestras capacidades </w:t>
      </w:r>
      <w:r w:rsidR="008C1E4C" w:rsidRPr="008C1E4C">
        <w:t>en comunicaciones seguras</w:t>
      </w:r>
      <w:r w:rsidR="00B43158">
        <w:t>, fabricación de satélites y constelaciones,</w:t>
      </w:r>
      <w:r w:rsidR="008C1E4C" w:rsidRPr="008C1E4C">
        <w:t xml:space="preserve"> y soluciones satelitales</w:t>
      </w:r>
      <w:r w:rsidR="008E3879">
        <w:t>,</w:t>
      </w:r>
      <w:r w:rsidR="008C1E4C" w:rsidRPr="008C1E4C">
        <w:t xml:space="preserve"> con aplicaciones críticas en defensa y seguridad nacional</w:t>
      </w:r>
      <w:r w:rsidR="004B2E5D">
        <w:t xml:space="preserve">, pero también en servicios </w:t>
      </w:r>
      <w:r w:rsidR="00834F7F">
        <w:t>dirigidos al sector civil</w:t>
      </w:r>
      <w:r w:rsidR="00B430B7">
        <w:t xml:space="preserve">”, destaca </w:t>
      </w:r>
      <w:r w:rsidR="00C1144C">
        <w:t>el presidente ejecutivo de</w:t>
      </w:r>
      <w:r w:rsidR="000861CF">
        <w:t xml:space="preserve"> Indra Group</w:t>
      </w:r>
      <w:r w:rsidR="00C1144C">
        <w:t>, Ángel Escribano.</w:t>
      </w:r>
    </w:p>
    <w:p w14:paraId="2D35DD27" w14:textId="249B9CE8" w:rsidR="00962307" w:rsidRDefault="001436E8" w:rsidP="00962307">
      <w:r>
        <w:t xml:space="preserve">Indra Group se </w:t>
      </w:r>
      <w:r w:rsidR="00BD5517">
        <w:t xml:space="preserve">posiciona </w:t>
      </w:r>
      <w:r>
        <w:t xml:space="preserve">como </w:t>
      </w:r>
      <w:r w:rsidR="00BD5517">
        <w:t xml:space="preserve">actor </w:t>
      </w:r>
      <w:r w:rsidR="00717039">
        <w:t>decisivo</w:t>
      </w:r>
      <w:r w:rsidR="00BD5517">
        <w:t xml:space="preserve"> </w:t>
      </w:r>
      <w:r w:rsidR="00CC7971">
        <w:t>en</w:t>
      </w:r>
      <w:r w:rsidR="00AF4956" w:rsidRPr="00AF4956">
        <w:t xml:space="preserve"> programas como IRIS², </w:t>
      </w:r>
      <w:r w:rsidR="00B4673D">
        <w:t>crucial</w:t>
      </w:r>
      <w:r w:rsidR="00AF4956" w:rsidRPr="00AF4956">
        <w:t xml:space="preserve"> para</w:t>
      </w:r>
      <w:r w:rsidR="00B4673D">
        <w:t xml:space="preserve"> las</w:t>
      </w:r>
      <w:r w:rsidR="00AF4956" w:rsidRPr="00AF4956">
        <w:t xml:space="preserve"> comunicaciones seguras en Europa,</w:t>
      </w:r>
      <w:r w:rsidR="00B4673D">
        <w:t xml:space="preserve"> así como</w:t>
      </w:r>
      <w:r w:rsidR="00AF4956" w:rsidRPr="00AF4956">
        <w:t xml:space="preserve"> SpainSat NG y PAZ</w:t>
      </w:r>
      <w:r w:rsidR="005D161B">
        <w:t>.</w:t>
      </w:r>
      <w:r w:rsidR="00930157" w:rsidRPr="00930157">
        <w:t xml:space="preserve"> Además, juega un papel esencial en infraestructuras clave </w:t>
      </w:r>
      <w:r w:rsidR="00DE68AB">
        <w:t xml:space="preserve">europeas </w:t>
      </w:r>
      <w:r w:rsidR="00930157" w:rsidRPr="00930157">
        <w:t>como Copernicus, Galileo y EGNOS</w:t>
      </w:r>
      <w:r w:rsidR="00D0080B">
        <w:t xml:space="preserve">, </w:t>
      </w:r>
      <w:r w:rsidR="00D13383" w:rsidRPr="00D13383">
        <w:t>en</w:t>
      </w:r>
      <w:r w:rsidR="00DE3729">
        <w:t xml:space="preserve"> </w:t>
      </w:r>
      <w:r w:rsidR="00D13383" w:rsidRPr="00D13383">
        <w:t xml:space="preserve">observación de la </w:t>
      </w:r>
      <w:r w:rsidR="00986C99">
        <w:t>T</w:t>
      </w:r>
      <w:r w:rsidR="00D13383" w:rsidRPr="00D13383">
        <w:t>ierra, vigilancia y servicios espaciales avanzados</w:t>
      </w:r>
      <w:r w:rsidR="00DE3729">
        <w:t>.</w:t>
      </w:r>
      <w:r w:rsidR="00DE68AB">
        <w:t xml:space="preserve"> </w:t>
      </w:r>
      <w:r w:rsidR="00193988">
        <w:t xml:space="preserve">La compañía </w:t>
      </w:r>
      <w:r w:rsidR="00962307">
        <w:t>tiene la ambición de expandir</w:t>
      </w:r>
      <w:r w:rsidR="00193988">
        <w:t xml:space="preserve"> su liderazgo materializando</w:t>
      </w:r>
      <w:r w:rsidR="00962307">
        <w:t xml:space="preserve"> futuras oportunidades como la Vigilancia Espacial, LEO PNT y los programas de Observación de la Tierra de próxima generación</w:t>
      </w:r>
      <w:r w:rsidR="00030129">
        <w:t xml:space="preserve"> e </w:t>
      </w:r>
      <w:r w:rsidR="00962307">
        <w:t xml:space="preserve">impulsar </w:t>
      </w:r>
      <w:r w:rsidR="00030129">
        <w:t>próximo</w:t>
      </w:r>
      <w:r w:rsidR="00962307">
        <w:t>s programas estratégicos, como Signal Intelligence o SEOT para la observación óptica de la Tierra.</w:t>
      </w:r>
    </w:p>
    <w:p w14:paraId="5D996F88" w14:textId="7771F0B4" w:rsidR="00D94F94" w:rsidRDefault="00D94F94" w:rsidP="00D94F94">
      <w:r>
        <w:t xml:space="preserve">Con la integración de Hispasat y la consolidación de Hisdesat se generan importantes sinergias para el crecimiento de las operaciones y los ingresos de Indra Group. Mediante la estandarización de elementos como la aviónica, los enlaces entre satélites y otros elementos, Indra Group agilizará la producción y logrará una fabricación industrializada a escala, que permitirá hacer frente a la creciente demanda de satélites miniaturizados, situando a la compañía a la vanguardia de la tecnología satelital del futuro. </w:t>
      </w:r>
    </w:p>
    <w:p w14:paraId="70A37B50" w14:textId="77777777" w:rsidR="00F23133" w:rsidRDefault="00F23133" w:rsidP="00962307"/>
    <w:p w14:paraId="4D58EA02" w14:textId="77777777" w:rsidR="00EC523A" w:rsidRPr="00EC523A" w:rsidRDefault="00EC523A" w:rsidP="00EC523A">
      <w:pPr>
        <w:rPr>
          <w:b/>
          <w:bCs/>
          <w:sz w:val="18"/>
          <w:szCs w:val="22"/>
        </w:rPr>
      </w:pPr>
      <w:r w:rsidRPr="00EC523A">
        <w:rPr>
          <w:b/>
          <w:bCs/>
          <w:sz w:val="18"/>
          <w:szCs w:val="22"/>
        </w:rPr>
        <w:t>Acerca de Indra</w:t>
      </w:r>
      <w:r w:rsidR="00F01B8F">
        <w:rPr>
          <w:b/>
          <w:bCs/>
          <w:sz w:val="18"/>
          <w:szCs w:val="22"/>
        </w:rPr>
        <w:t xml:space="preserve"> Group</w:t>
      </w:r>
    </w:p>
    <w:p w14:paraId="5E6B5C3D" w14:textId="037CDCB8" w:rsidR="005E3AA8" w:rsidRPr="005E3AA8" w:rsidRDefault="005E3AA8" w:rsidP="005E3AA8">
      <w:pPr>
        <w:rPr>
          <w:rFonts w:ascii="Arial" w:hAnsi="Arial"/>
          <w:sz w:val="18"/>
          <w:szCs w:val="22"/>
        </w:rPr>
      </w:pPr>
      <w:bookmarkStart w:id="1" w:name="_Hlk213251714"/>
      <w:r w:rsidRPr="005E3AA8">
        <w:rPr>
          <w:rFonts w:ascii="Arial" w:hAnsi="Arial"/>
          <w:sz w:val="18"/>
          <w:szCs w:val="22"/>
        </w:rPr>
        <w:t xml:space="preserve">Indra Group (www.indracompany.com) es la multinacional española de referencia y una de las principales compañías de Europa de defensa y tecnologías avanzadas. Tiene una posición de liderazgo en los negocios de defensa, espacio, gestión del tráfico aéreo, movilidad y </w:t>
      </w:r>
      <w:r w:rsidR="008B7484">
        <w:rPr>
          <w:rFonts w:ascii="Arial" w:hAnsi="Arial"/>
          <w:sz w:val="18"/>
          <w:szCs w:val="22"/>
        </w:rPr>
        <w:t>t</w:t>
      </w:r>
      <w:r w:rsidRPr="005E3AA8">
        <w:rPr>
          <w:rFonts w:ascii="Arial" w:hAnsi="Arial"/>
          <w:sz w:val="18"/>
          <w:szCs w:val="22"/>
        </w:rPr>
        <w:t xml:space="preserve">ecnologías </w:t>
      </w:r>
      <w:r w:rsidR="000C0BD7">
        <w:rPr>
          <w:rFonts w:ascii="Arial" w:hAnsi="Arial"/>
          <w:sz w:val="18"/>
          <w:szCs w:val="22"/>
        </w:rPr>
        <w:t>disruptivas</w:t>
      </w:r>
      <w:r w:rsidRPr="005E3AA8">
        <w:rPr>
          <w:rFonts w:ascii="Arial" w:hAnsi="Arial"/>
          <w:sz w:val="18"/>
          <w:szCs w:val="22"/>
        </w:rPr>
        <w:t>, a través de Minsait, e integra en IndraMind sus capacidades de IA soberana, ciberseguridad y ciberdefensa. Indra Group impulsa un futuro más seguro y conectado a través de soluciones innovadoras, relaciones de confianza y el mejor talento. La sostenibilidad forma parte de su estrategia y de su cultura, para dar respuesta a los retos sociales y ambientales presentes y futuros. A cierre del ejercicio 2024, Indra Group tuvo unos ingresos de 4.843 millones de euros, presencia local en 46 países y operaciones comerciales en más de 140 países.</w:t>
      </w:r>
      <w:bookmarkEnd w:id="1"/>
    </w:p>
    <w:p w14:paraId="50C4B4DA" w14:textId="77777777" w:rsidR="00EC523A" w:rsidRPr="00483739" w:rsidRDefault="00EC523A" w:rsidP="00EC523A">
      <w:pPr>
        <w:rPr>
          <w:noProof/>
          <w:sz w:val="18"/>
          <w:szCs w:val="22"/>
          <w:u w:val="single"/>
        </w:rPr>
      </w:pPr>
      <w:r w:rsidRPr="00483739">
        <w:rPr>
          <w:noProof/>
          <w:sz w:val="18"/>
          <w:szCs w:val="22"/>
          <w:u w:val="single"/>
        </w:rPr>
        <w:t>Contacto de Comunicación</w:t>
      </w:r>
    </w:p>
    <w:p w14:paraId="46CF16C4" w14:textId="77777777" w:rsidR="00FE6BE8" w:rsidRPr="00FE6BE8" w:rsidRDefault="00FE6BE8" w:rsidP="00FE6BE8">
      <w:pPr>
        <w:spacing w:before="0" w:after="0"/>
        <w:rPr>
          <w:b/>
          <w:bCs/>
          <w:noProof/>
          <w:sz w:val="18"/>
          <w:szCs w:val="22"/>
        </w:rPr>
      </w:pPr>
      <w:r w:rsidRPr="00FE6BE8">
        <w:rPr>
          <w:b/>
          <w:bCs/>
          <w:noProof/>
          <w:sz w:val="18"/>
          <w:szCs w:val="22"/>
        </w:rPr>
        <w:t>Toñi García Carballal</w:t>
      </w:r>
    </w:p>
    <w:p w14:paraId="11A94488" w14:textId="77777777" w:rsidR="00FE6BE8" w:rsidRPr="00FE6BE8" w:rsidRDefault="00FE6BE8" w:rsidP="00FE6BE8">
      <w:pPr>
        <w:spacing w:before="0" w:after="0"/>
        <w:rPr>
          <w:b/>
          <w:bCs/>
          <w:noProof/>
          <w:sz w:val="18"/>
          <w:szCs w:val="22"/>
        </w:rPr>
      </w:pPr>
      <w:r w:rsidRPr="00FE6BE8">
        <w:rPr>
          <w:b/>
          <w:bCs/>
          <w:noProof/>
          <w:sz w:val="18"/>
          <w:szCs w:val="22"/>
        </w:rPr>
        <w:t>magcarballal@indra.es</w:t>
      </w:r>
    </w:p>
    <w:p w14:paraId="6C8B8A84" w14:textId="25B6DB64" w:rsidR="00516ACD" w:rsidRPr="00483739" w:rsidRDefault="00FE6BE8" w:rsidP="00FE6BE8">
      <w:pPr>
        <w:spacing w:before="0" w:after="0"/>
        <w:rPr>
          <w:noProof/>
          <w:color w:val="FFFFFF" w:themeColor="background1"/>
          <w:sz w:val="21"/>
        </w:rPr>
      </w:pPr>
      <w:r w:rsidRPr="00FE6BE8">
        <w:rPr>
          <w:b/>
          <w:bCs/>
          <w:noProof/>
          <w:sz w:val="18"/>
          <w:szCs w:val="22"/>
        </w:rPr>
        <w:t>+34 648 10 29 48</w:t>
      </w:r>
    </w:p>
    <w:sectPr w:rsidR="00516ACD" w:rsidRPr="00483739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28E9" w14:textId="77777777" w:rsidR="007C727B" w:rsidRDefault="007C727B" w:rsidP="00544EF6">
      <w:pPr>
        <w:spacing w:before="0"/>
      </w:pPr>
      <w:r>
        <w:separator/>
      </w:r>
    </w:p>
  </w:endnote>
  <w:endnote w:type="continuationSeparator" w:id="0">
    <w:p w14:paraId="74254A1B" w14:textId="77777777" w:rsidR="007C727B" w:rsidRDefault="007C727B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A054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5810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F9A4" w14:textId="77777777" w:rsidR="007C727B" w:rsidRDefault="007C727B" w:rsidP="00544EF6">
      <w:pPr>
        <w:spacing w:before="0"/>
      </w:pPr>
      <w:r>
        <w:separator/>
      </w:r>
    </w:p>
  </w:footnote>
  <w:footnote w:type="continuationSeparator" w:id="0">
    <w:p w14:paraId="4EEBABE5" w14:textId="77777777" w:rsidR="007C727B" w:rsidRDefault="007C727B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59A6595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16EBAAB4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8B5A01A" wp14:editId="0ACBBC72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A006D37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D6ACF2B" w14:textId="77777777" w:rsidR="00A67B89" w:rsidRPr="00A67B89" w:rsidRDefault="00A67B89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3F37F17A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5092154" wp14:editId="0A506B09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8BB7" w14:textId="77777777" w:rsidR="00FE4E37" w:rsidRDefault="00FE4E37" w:rsidP="00544EF6">
    <w:pPr>
      <w:pStyle w:val="Encabezado"/>
    </w:pPr>
  </w:p>
  <w:p w14:paraId="584FBD3A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308D9"/>
    <w:multiLevelType w:val="multilevel"/>
    <w:tmpl w:val="25D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D49EE"/>
    <w:multiLevelType w:val="hybridMultilevel"/>
    <w:tmpl w:val="F70083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315645383">
    <w:abstractNumId w:val="11"/>
  </w:num>
  <w:num w:numId="2" w16cid:durableId="500392286">
    <w:abstractNumId w:val="8"/>
  </w:num>
  <w:num w:numId="3" w16cid:durableId="1826235309">
    <w:abstractNumId w:val="3"/>
  </w:num>
  <w:num w:numId="4" w16cid:durableId="1931965345">
    <w:abstractNumId w:val="2"/>
  </w:num>
  <w:num w:numId="5" w16cid:durableId="1088431570">
    <w:abstractNumId w:val="1"/>
  </w:num>
  <w:num w:numId="6" w16cid:durableId="1148783152">
    <w:abstractNumId w:val="0"/>
  </w:num>
  <w:num w:numId="7" w16cid:durableId="645620555">
    <w:abstractNumId w:val="9"/>
  </w:num>
  <w:num w:numId="8" w16cid:durableId="1282954516">
    <w:abstractNumId w:val="7"/>
  </w:num>
  <w:num w:numId="9" w16cid:durableId="975456683">
    <w:abstractNumId w:val="6"/>
  </w:num>
  <w:num w:numId="10" w16cid:durableId="422268234">
    <w:abstractNumId w:val="5"/>
  </w:num>
  <w:num w:numId="11" w16cid:durableId="406416965">
    <w:abstractNumId w:val="4"/>
  </w:num>
  <w:num w:numId="12" w16cid:durableId="1105341001">
    <w:abstractNumId w:val="10"/>
  </w:num>
  <w:num w:numId="13" w16cid:durableId="928929783">
    <w:abstractNumId w:val="16"/>
  </w:num>
  <w:num w:numId="14" w16cid:durableId="771625518">
    <w:abstractNumId w:val="15"/>
  </w:num>
  <w:num w:numId="15" w16cid:durableId="1082409188">
    <w:abstractNumId w:val="12"/>
  </w:num>
  <w:num w:numId="16" w16cid:durableId="187985331">
    <w:abstractNumId w:val="14"/>
  </w:num>
  <w:num w:numId="17" w16cid:durableId="36703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E8"/>
    <w:rsid w:val="000030D8"/>
    <w:rsid w:val="00005D89"/>
    <w:rsid w:val="000278C3"/>
    <w:rsid w:val="00030129"/>
    <w:rsid w:val="00037DEE"/>
    <w:rsid w:val="00045359"/>
    <w:rsid w:val="0004788B"/>
    <w:rsid w:val="00047EE5"/>
    <w:rsid w:val="00053246"/>
    <w:rsid w:val="0005576A"/>
    <w:rsid w:val="00063C0E"/>
    <w:rsid w:val="00077BB2"/>
    <w:rsid w:val="00077D39"/>
    <w:rsid w:val="00080B3D"/>
    <w:rsid w:val="00084BD7"/>
    <w:rsid w:val="000861CF"/>
    <w:rsid w:val="00093426"/>
    <w:rsid w:val="00094BC7"/>
    <w:rsid w:val="000A71E8"/>
    <w:rsid w:val="000C0BD7"/>
    <w:rsid w:val="000C1837"/>
    <w:rsid w:val="000D6C75"/>
    <w:rsid w:val="000E6A5C"/>
    <w:rsid w:val="000F3350"/>
    <w:rsid w:val="00101F30"/>
    <w:rsid w:val="00102584"/>
    <w:rsid w:val="001347A8"/>
    <w:rsid w:val="001372B2"/>
    <w:rsid w:val="001436E8"/>
    <w:rsid w:val="00145829"/>
    <w:rsid w:val="001619B8"/>
    <w:rsid w:val="00161F8E"/>
    <w:rsid w:val="0016284F"/>
    <w:rsid w:val="00165FED"/>
    <w:rsid w:val="0017039A"/>
    <w:rsid w:val="001726F0"/>
    <w:rsid w:val="0017565F"/>
    <w:rsid w:val="00193988"/>
    <w:rsid w:val="00197609"/>
    <w:rsid w:val="001C6062"/>
    <w:rsid w:val="001F74A4"/>
    <w:rsid w:val="00213214"/>
    <w:rsid w:val="00216335"/>
    <w:rsid w:val="00216FBB"/>
    <w:rsid w:val="00225ADB"/>
    <w:rsid w:val="00237BD6"/>
    <w:rsid w:val="00242028"/>
    <w:rsid w:val="00252A2A"/>
    <w:rsid w:val="00254534"/>
    <w:rsid w:val="00271738"/>
    <w:rsid w:val="0027215B"/>
    <w:rsid w:val="00282A30"/>
    <w:rsid w:val="002907BF"/>
    <w:rsid w:val="00291007"/>
    <w:rsid w:val="00293707"/>
    <w:rsid w:val="002A6AB4"/>
    <w:rsid w:val="002B017E"/>
    <w:rsid w:val="002C5AF7"/>
    <w:rsid w:val="002C70BA"/>
    <w:rsid w:val="002C73EF"/>
    <w:rsid w:val="002C7F8F"/>
    <w:rsid w:val="002D63CF"/>
    <w:rsid w:val="002F66F7"/>
    <w:rsid w:val="002F6F81"/>
    <w:rsid w:val="00304DA2"/>
    <w:rsid w:val="00311266"/>
    <w:rsid w:val="003146C9"/>
    <w:rsid w:val="00316EB5"/>
    <w:rsid w:val="00321136"/>
    <w:rsid w:val="003243C0"/>
    <w:rsid w:val="00340E3A"/>
    <w:rsid w:val="00351EA9"/>
    <w:rsid w:val="0035683F"/>
    <w:rsid w:val="00357288"/>
    <w:rsid w:val="003607B4"/>
    <w:rsid w:val="00360DB3"/>
    <w:rsid w:val="00362CE3"/>
    <w:rsid w:val="003644ED"/>
    <w:rsid w:val="00366B48"/>
    <w:rsid w:val="0039319D"/>
    <w:rsid w:val="0039747B"/>
    <w:rsid w:val="003A244E"/>
    <w:rsid w:val="003A3668"/>
    <w:rsid w:val="003A5B0D"/>
    <w:rsid w:val="003A7CD1"/>
    <w:rsid w:val="003B3230"/>
    <w:rsid w:val="003C5EE6"/>
    <w:rsid w:val="003D4A04"/>
    <w:rsid w:val="003E0E71"/>
    <w:rsid w:val="003E7D25"/>
    <w:rsid w:val="003F2D42"/>
    <w:rsid w:val="003F5627"/>
    <w:rsid w:val="003F7D3B"/>
    <w:rsid w:val="004066A5"/>
    <w:rsid w:val="00431B11"/>
    <w:rsid w:val="004359D5"/>
    <w:rsid w:val="004419AE"/>
    <w:rsid w:val="00444647"/>
    <w:rsid w:val="004448EF"/>
    <w:rsid w:val="00454A68"/>
    <w:rsid w:val="0046704A"/>
    <w:rsid w:val="00467E14"/>
    <w:rsid w:val="00474B95"/>
    <w:rsid w:val="004769CA"/>
    <w:rsid w:val="00482A19"/>
    <w:rsid w:val="00483739"/>
    <w:rsid w:val="0048396E"/>
    <w:rsid w:val="00493B3B"/>
    <w:rsid w:val="004A2612"/>
    <w:rsid w:val="004A3417"/>
    <w:rsid w:val="004B2E5D"/>
    <w:rsid w:val="004E7415"/>
    <w:rsid w:val="00503E7A"/>
    <w:rsid w:val="0051292B"/>
    <w:rsid w:val="00516ACD"/>
    <w:rsid w:val="00522C71"/>
    <w:rsid w:val="005420D8"/>
    <w:rsid w:val="00544EF6"/>
    <w:rsid w:val="0054527E"/>
    <w:rsid w:val="005479A5"/>
    <w:rsid w:val="00557E95"/>
    <w:rsid w:val="00576A77"/>
    <w:rsid w:val="005933AB"/>
    <w:rsid w:val="0059422E"/>
    <w:rsid w:val="00596CFF"/>
    <w:rsid w:val="005B51C6"/>
    <w:rsid w:val="005C59B7"/>
    <w:rsid w:val="005D161B"/>
    <w:rsid w:val="005D5083"/>
    <w:rsid w:val="005D6154"/>
    <w:rsid w:val="005E3AA8"/>
    <w:rsid w:val="005E42CC"/>
    <w:rsid w:val="005E6D47"/>
    <w:rsid w:val="005F40E1"/>
    <w:rsid w:val="0062397A"/>
    <w:rsid w:val="00624185"/>
    <w:rsid w:val="006316A1"/>
    <w:rsid w:val="0064177A"/>
    <w:rsid w:val="006436A4"/>
    <w:rsid w:val="006503EA"/>
    <w:rsid w:val="006519F7"/>
    <w:rsid w:val="006530C3"/>
    <w:rsid w:val="0065419B"/>
    <w:rsid w:val="006573FA"/>
    <w:rsid w:val="00657F36"/>
    <w:rsid w:val="00680ECA"/>
    <w:rsid w:val="00681C63"/>
    <w:rsid w:val="00683D86"/>
    <w:rsid w:val="0068695D"/>
    <w:rsid w:val="00690659"/>
    <w:rsid w:val="006A2751"/>
    <w:rsid w:val="006B3C6E"/>
    <w:rsid w:val="006B4D0C"/>
    <w:rsid w:val="006B7A44"/>
    <w:rsid w:val="006E50B5"/>
    <w:rsid w:val="006F483D"/>
    <w:rsid w:val="00707924"/>
    <w:rsid w:val="00710D75"/>
    <w:rsid w:val="007112E9"/>
    <w:rsid w:val="00717039"/>
    <w:rsid w:val="007301BF"/>
    <w:rsid w:val="0073060D"/>
    <w:rsid w:val="007371BB"/>
    <w:rsid w:val="00751349"/>
    <w:rsid w:val="007561D3"/>
    <w:rsid w:val="00764D8F"/>
    <w:rsid w:val="00777FFB"/>
    <w:rsid w:val="007942C3"/>
    <w:rsid w:val="00794EE5"/>
    <w:rsid w:val="00796845"/>
    <w:rsid w:val="007A0617"/>
    <w:rsid w:val="007A334F"/>
    <w:rsid w:val="007A4873"/>
    <w:rsid w:val="007B0D2B"/>
    <w:rsid w:val="007B0D76"/>
    <w:rsid w:val="007B0E3A"/>
    <w:rsid w:val="007B1C20"/>
    <w:rsid w:val="007B649D"/>
    <w:rsid w:val="007C5E57"/>
    <w:rsid w:val="007C727B"/>
    <w:rsid w:val="007D088C"/>
    <w:rsid w:val="007E0CAC"/>
    <w:rsid w:val="007E1333"/>
    <w:rsid w:val="007E77CB"/>
    <w:rsid w:val="007F23E2"/>
    <w:rsid w:val="007F387C"/>
    <w:rsid w:val="007F681A"/>
    <w:rsid w:val="007F6EA2"/>
    <w:rsid w:val="008018C7"/>
    <w:rsid w:val="00802FA8"/>
    <w:rsid w:val="008058E1"/>
    <w:rsid w:val="0082002F"/>
    <w:rsid w:val="0082172B"/>
    <w:rsid w:val="00824526"/>
    <w:rsid w:val="00824AC8"/>
    <w:rsid w:val="00825F77"/>
    <w:rsid w:val="00834F7F"/>
    <w:rsid w:val="00835644"/>
    <w:rsid w:val="008550F2"/>
    <w:rsid w:val="00855CC7"/>
    <w:rsid w:val="00864F80"/>
    <w:rsid w:val="00870522"/>
    <w:rsid w:val="008739E1"/>
    <w:rsid w:val="00875414"/>
    <w:rsid w:val="00883344"/>
    <w:rsid w:val="00884A90"/>
    <w:rsid w:val="008B189C"/>
    <w:rsid w:val="008B7484"/>
    <w:rsid w:val="008B74BB"/>
    <w:rsid w:val="008C1E4C"/>
    <w:rsid w:val="008C2B8D"/>
    <w:rsid w:val="008C5FB9"/>
    <w:rsid w:val="008C7BBD"/>
    <w:rsid w:val="008D1944"/>
    <w:rsid w:val="008E3879"/>
    <w:rsid w:val="008E7D58"/>
    <w:rsid w:val="008F00D0"/>
    <w:rsid w:val="00901B4B"/>
    <w:rsid w:val="00915FCB"/>
    <w:rsid w:val="00927ED6"/>
    <w:rsid w:val="00930157"/>
    <w:rsid w:val="00936D58"/>
    <w:rsid w:val="0094471E"/>
    <w:rsid w:val="009475EE"/>
    <w:rsid w:val="009521F1"/>
    <w:rsid w:val="00957941"/>
    <w:rsid w:val="00962307"/>
    <w:rsid w:val="009663A4"/>
    <w:rsid w:val="0097701D"/>
    <w:rsid w:val="0097749D"/>
    <w:rsid w:val="00986C99"/>
    <w:rsid w:val="009A7964"/>
    <w:rsid w:val="009C2582"/>
    <w:rsid w:val="009D0287"/>
    <w:rsid w:val="009E030A"/>
    <w:rsid w:val="009E6358"/>
    <w:rsid w:val="009F57FE"/>
    <w:rsid w:val="00A0068F"/>
    <w:rsid w:val="00A0718C"/>
    <w:rsid w:val="00A12BB7"/>
    <w:rsid w:val="00A43F60"/>
    <w:rsid w:val="00A544BA"/>
    <w:rsid w:val="00A67B89"/>
    <w:rsid w:val="00A67BA8"/>
    <w:rsid w:val="00A74084"/>
    <w:rsid w:val="00A82D41"/>
    <w:rsid w:val="00A96CC4"/>
    <w:rsid w:val="00AA6993"/>
    <w:rsid w:val="00AA7F3F"/>
    <w:rsid w:val="00AB0C5A"/>
    <w:rsid w:val="00AB33C9"/>
    <w:rsid w:val="00AD076F"/>
    <w:rsid w:val="00AE058B"/>
    <w:rsid w:val="00AE370D"/>
    <w:rsid w:val="00AE46FF"/>
    <w:rsid w:val="00AF33DB"/>
    <w:rsid w:val="00AF4956"/>
    <w:rsid w:val="00B10022"/>
    <w:rsid w:val="00B10BC4"/>
    <w:rsid w:val="00B11F02"/>
    <w:rsid w:val="00B4267D"/>
    <w:rsid w:val="00B430B7"/>
    <w:rsid w:val="00B43158"/>
    <w:rsid w:val="00B4673D"/>
    <w:rsid w:val="00B54B0F"/>
    <w:rsid w:val="00B60ACA"/>
    <w:rsid w:val="00B67380"/>
    <w:rsid w:val="00B829E8"/>
    <w:rsid w:val="00B854D0"/>
    <w:rsid w:val="00B86B55"/>
    <w:rsid w:val="00B91D35"/>
    <w:rsid w:val="00B924DA"/>
    <w:rsid w:val="00B92971"/>
    <w:rsid w:val="00BA520D"/>
    <w:rsid w:val="00BA728C"/>
    <w:rsid w:val="00BB07D9"/>
    <w:rsid w:val="00BD5517"/>
    <w:rsid w:val="00BD573D"/>
    <w:rsid w:val="00BD5F1C"/>
    <w:rsid w:val="00BE73E2"/>
    <w:rsid w:val="00BF3115"/>
    <w:rsid w:val="00BF3FEA"/>
    <w:rsid w:val="00C00CAA"/>
    <w:rsid w:val="00C03282"/>
    <w:rsid w:val="00C1144C"/>
    <w:rsid w:val="00C32BAD"/>
    <w:rsid w:val="00C33262"/>
    <w:rsid w:val="00C40254"/>
    <w:rsid w:val="00C41089"/>
    <w:rsid w:val="00C43F51"/>
    <w:rsid w:val="00C47B2C"/>
    <w:rsid w:val="00C47B57"/>
    <w:rsid w:val="00C50B64"/>
    <w:rsid w:val="00C675E3"/>
    <w:rsid w:val="00C742E3"/>
    <w:rsid w:val="00C75524"/>
    <w:rsid w:val="00C93CC7"/>
    <w:rsid w:val="00C972F8"/>
    <w:rsid w:val="00CA6A64"/>
    <w:rsid w:val="00CB3F82"/>
    <w:rsid w:val="00CB6753"/>
    <w:rsid w:val="00CC0515"/>
    <w:rsid w:val="00CC0E42"/>
    <w:rsid w:val="00CC4A2A"/>
    <w:rsid w:val="00CC7971"/>
    <w:rsid w:val="00CD0B64"/>
    <w:rsid w:val="00CD227E"/>
    <w:rsid w:val="00CD572F"/>
    <w:rsid w:val="00CD6947"/>
    <w:rsid w:val="00CE21FE"/>
    <w:rsid w:val="00CF3788"/>
    <w:rsid w:val="00D0080B"/>
    <w:rsid w:val="00D00BB7"/>
    <w:rsid w:val="00D03565"/>
    <w:rsid w:val="00D13383"/>
    <w:rsid w:val="00D16551"/>
    <w:rsid w:val="00D311DF"/>
    <w:rsid w:val="00D416FC"/>
    <w:rsid w:val="00D4235F"/>
    <w:rsid w:val="00D45EC2"/>
    <w:rsid w:val="00D6261E"/>
    <w:rsid w:val="00D62C00"/>
    <w:rsid w:val="00D63B88"/>
    <w:rsid w:val="00D74B11"/>
    <w:rsid w:val="00D94007"/>
    <w:rsid w:val="00D94F94"/>
    <w:rsid w:val="00D957AD"/>
    <w:rsid w:val="00D95DB5"/>
    <w:rsid w:val="00DC09BB"/>
    <w:rsid w:val="00DC3B14"/>
    <w:rsid w:val="00DD0463"/>
    <w:rsid w:val="00DE13A7"/>
    <w:rsid w:val="00DE3729"/>
    <w:rsid w:val="00DE68AB"/>
    <w:rsid w:val="00DE75D7"/>
    <w:rsid w:val="00DF3827"/>
    <w:rsid w:val="00E042BE"/>
    <w:rsid w:val="00E06509"/>
    <w:rsid w:val="00E06A0F"/>
    <w:rsid w:val="00E07C92"/>
    <w:rsid w:val="00E14D0E"/>
    <w:rsid w:val="00E17A04"/>
    <w:rsid w:val="00E20537"/>
    <w:rsid w:val="00E22604"/>
    <w:rsid w:val="00E34143"/>
    <w:rsid w:val="00E52A0F"/>
    <w:rsid w:val="00E7708F"/>
    <w:rsid w:val="00E77D9C"/>
    <w:rsid w:val="00E84DCF"/>
    <w:rsid w:val="00E94D71"/>
    <w:rsid w:val="00EA1B73"/>
    <w:rsid w:val="00EA680E"/>
    <w:rsid w:val="00EC1344"/>
    <w:rsid w:val="00EC523A"/>
    <w:rsid w:val="00EC7DEB"/>
    <w:rsid w:val="00EE2A75"/>
    <w:rsid w:val="00F01B8F"/>
    <w:rsid w:val="00F1055C"/>
    <w:rsid w:val="00F2234F"/>
    <w:rsid w:val="00F23133"/>
    <w:rsid w:val="00F31127"/>
    <w:rsid w:val="00F31CC5"/>
    <w:rsid w:val="00F36DC6"/>
    <w:rsid w:val="00F94B5A"/>
    <w:rsid w:val="00F95DA5"/>
    <w:rsid w:val="00F96254"/>
    <w:rsid w:val="00F9639A"/>
    <w:rsid w:val="00F96717"/>
    <w:rsid w:val="00FA3670"/>
    <w:rsid w:val="00FA4408"/>
    <w:rsid w:val="00FA56F5"/>
    <w:rsid w:val="00FB03CE"/>
    <w:rsid w:val="00FB0EC9"/>
    <w:rsid w:val="00FB144D"/>
    <w:rsid w:val="00FB58CA"/>
    <w:rsid w:val="00FC4624"/>
    <w:rsid w:val="00FD2660"/>
    <w:rsid w:val="00FD7ADC"/>
    <w:rsid w:val="00FE1C2F"/>
    <w:rsid w:val="00FE4E37"/>
    <w:rsid w:val="00FE6BE8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14C5B6"/>
  <w15:docId w15:val="{A6B316E9-DCD2-487B-AEFA-196134D5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BE73E2"/>
    <w:pPr>
      <w:spacing w:before="0" w:after="0"/>
      <w:ind w:right="55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BE73E2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FE6BE8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B1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189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189C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1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189C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4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</Words>
  <Characters>3408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Tovar Jardón, Antonio</cp:lastModifiedBy>
  <cp:revision>5</cp:revision>
  <cp:lastPrinted>2025-12-30T11:59:00Z</cp:lastPrinted>
  <dcterms:created xsi:type="dcterms:W3CDTF">2025-12-30T10:59:00Z</dcterms:created>
  <dcterms:modified xsi:type="dcterms:W3CDTF">2025-12-30T12:39:00Z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