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AC0" w:rsidRDefault="00403CC5" w:rsidP="00347AC0">
      <w:pPr>
        <w:jc w:val="center"/>
        <w:rPr>
          <w:b/>
          <w:u w:val="single"/>
        </w:rPr>
      </w:pPr>
      <w:r w:rsidRPr="00347AC0">
        <w:rPr>
          <w:b/>
          <w:u w:val="single"/>
        </w:rPr>
        <w:t>Conclusiones sobre</w:t>
      </w:r>
      <w:r w:rsidR="00347AC0" w:rsidRPr="00347AC0">
        <w:rPr>
          <w:b/>
          <w:u w:val="single"/>
        </w:rPr>
        <w:t xml:space="preserve"> España en el informe: </w:t>
      </w:r>
      <w:r w:rsidR="00347AC0" w:rsidRPr="00347AC0">
        <w:rPr>
          <w:b/>
          <w:u w:val="single"/>
        </w:rPr>
        <w:t>“Aceptación de pagos en comercios</w:t>
      </w:r>
      <w:r w:rsidR="00347AC0" w:rsidRPr="00347AC0">
        <w:rPr>
          <w:b/>
          <w:u w:val="single"/>
        </w:rPr>
        <w:t>” (</w:t>
      </w:r>
      <w:proofErr w:type="spellStart"/>
      <w:r w:rsidR="00347AC0" w:rsidRPr="00347AC0">
        <w:rPr>
          <w:b/>
          <w:u w:val="single"/>
        </w:rPr>
        <w:t>Nuek</w:t>
      </w:r>
      <w:proofErr w:type="spellEnd"/>
      <w:r w:rsidR="00347AC0" w:rsidRPr="00347AC0">
        <w:rPr>
          <w:b/>
          <w:u w:val="single"/>
        </w:rPr>
        <w:t>)</w:t>
      </w:r>
    </w:p>
    <w:p w:rsidR="00347AC0" w:rsidRDefault="00347AC0" w:rsidP="00347AC0">
      <w:pPr>
        <w:jc w:val="center"/>
        <w:rPr>
          <w:b/>
          <w:u w:val="single"/>
        </w:rPr>
      </w:pPr>
    </w:p>
    <w:p w:rsidR="00347AC0" w:rsidRPr="00347AC0" w:rsidRDefault="00347AC0" w:rsidP="00347AC0">
      <w:pPr>
        <w:rPr>
          <w:b/>
          <w:u w:val="single"/>
        </w:rPr>
      </w:pPr>
      <w:r w:rsidRPr="00347AC0">
        <w:rPr>
          <w:b/>
          <w:u w:val="single"/>
        </w:rPr>
        <w:t>Tres máximas:</w:t>
      </w:r>
    </w:p>
    <w:p w:rsidR="00347AC0" w:rsidRDefault="00347AC0" w:rsidP="00347AC0">
      <w:r>
        <w:t xml:space="preserve">España muestra una adopción moderada de tecnologías de pago innovadoras como </w:t>
      </w:r>
      <w:proofErr w:type="spellStart"/>
      <w:r>
        <w:t>SoftPOS</w:t>
      </w:r>
      <w:proofErr w:type="spellEnd"/>
      <w:r>
        <w:t>, con una marcada brecha generacional y preferencia por métodos tradicionales entre los mayores.</w:t>
      </w:r>
    </w:p>
    <w:p w:rsidR="00347AC0" w:rsidRDefault="00347AC0" w:rsidP="00347AC0">
      <w:r>
        <w:t>El comercio electrónico internacional tiene una cuota relevante, pero la experiencia del consumidor se ve limitada por costes, seguridad y opciones de pago.</w:t>
      </w:r>
    </w:p>
    <w:p w:rsidR="00347AC0" w:rsidRDefault="00347AC0" w:rsidP="00347AC0">
      <w:pPr>
        <w:pBdr>
          <w:bottom w:val="dotted" w:sz="24" w:space="1" w:color="auto"/>
        </w:pBdr>
      </w:pPr>
      <w:r>
        <w:t>Los pagos por suscripción crecen entre los jóvenes, con la tarjeta de débito como medio preferido, y la comodidad y rapidez como principales motivaciones.</w:t>
      </w:r>
    </w:p>
    <w:p w:rsidR="00347AC0" w:rsidRPr="00347AC0" w:rsidRDefault="00347AC0" w:rsidP="00347AC0">
      <w:pPr>
        <w:jc w:val="center"/>
        <w:rPr>
          <w:b/>
          <w:u w:val="single"/>
        </w:rPr>
      </w:pPr>
    </w:p>
    <w:p w:rsidR="00403CC5" w:rsidRPr="00347AC0" w:rsidRDefault="00403CC5" w:rsidP="00403CC5">
      <w:pPr>
        <w:rPr>
          <w:b/>
        </w:rPr>
      </w:pPr>
      <w:r w:rsidRPr="00347AC0">
        <w:rPr>
          <w:b/>
        </w:rPr>
        <w:t xml:space="preserve">1. </w:t>
      </w:r>
      <w:proofErr w:type="spellStart"/>
      <w:r w:rsidRPr="00347AC0">
        <w:rPr>
          <w:b/>
        </w:rPr>
        <w:t>SoftPOS</w:t>
      </w:r>
      <w:proofErr w:type="spellEnd"/>
      <w:r w:rsidR="00347AC0" w:rsidRPr="00347AC0">
        <w:rPr>
          <w:b/>
        </w:rPr>
        <w:t xml:space="preserve"> (pago con móvil/tableta en comercio)</w:t>
      </w:r>
      <w:r w:rsidRPr="00347AC0">
        <w:rPr>
          <w:b/>
        </w:rPr>
        <w:t>: Adopción y Retos Generacionales</w:t>
      </w:r>
    </w:p>
    <w:p w:rsidR="00403CC5" w:rsidRDefault="00403CC5" w:rsidP="00403CC5">
      <w:r>
        <w:t xml:space="preserve">En España, la adopción de la tecnología </w:t>
      </w:r>
      <w:proofErr w:type="spellStart"/>
      <w:r>
        <w:t>SoftPOS</w:t>
      </w:r>
      <w:proofErr w:type="spellEnd"/>
      <w:r>
        <w:t xml:space="preserve"> (pago con móvil/</w:t>
      </w:r>
      <w:proofErr w:type="spellStart"/>
      <w:r>
        <w:t>tablet</w:t>
      </w:r>
      <w:proofErr w:type="spellEnd"/>
      <w:r>
        <w:t xml:space="preserve"> como TPV o QR) es más limitada que en Latinoamérica, aunque Portugal destaca con una tasa superior al 50% y Espa</w:t>
      </w:r>
      <w:r w:rsidR="00347AC0">
        <w:t>ña se sitúa en torno al 30-40%</w:t>
      </w:r>
      <w:r>
        <w:t>.</w:t>
      </w:r>
    </w:p>
    <w:p w:rsidR="00403CC5" w:rsidRDefault="00403CC5" w:rsidP="00403CC5">
      <w:r>
        <w:t xml:space="preserve">Existe una brecha generacional significativa: solo el 13% de los mayores de 55 años han usado </w:t>
      </w:r>
      <w:proofErr w:type="spellStart"/>
      <w:r>
        <w:t>SoftPOS</w:t>
      </w:r>
      <w:proofErr w:type="spellEnd"/>
      <w:r>
        <w:t>, mientras que el 42% de este grupo desconoce la posibilida</w:t>
      </w:r>
      <w:r w:rsidR="00347AC0">
        <w:t>d de pagar con esta tecnología</w:t>
      </w:r>
      <w:r>
        <w:t>.</w:t>
      </w:r>
    </w:p>
    <w:p w:rsidR="00403CC5" w:rsidRDefault="00403CC5" w:rsidP="00403CC5">
      <w:r>
        <w:t xml:space="preserve">El rechazo al pago con </w:t>
      </w:r>
      <w:proofErr w:type="spellStart"/>
      <w:r>
        <w:t>SoftPOS</w:t>
      </w:r>
      <w:proofErr w:type="spellEnd"/>
      <w:r>
        <w:t xml:space="preserve"> en España está muy vinculado a la falta de confianza en el establecimiento y a la preferencia por otros métodos de pago, especialmente el ef</w:t>
      </w:r>
      <w:r w:rsidR="00347AC0">
        <w:t>ectivo entre los mayores</w:t>
      </w:r>
      <w:r>
        <w:t>.</w:t>
      </w:r>
    </w:p>
    <w:p w:rsidR="00403CC5" w:rsidRDefault="00403CC5" w:rsidP="00403CC5">
      <w:r>
        <w:t>La modalidad QR tiene una penetración residual entre la población de mayor edad, aunque se espera crecimiento en</w:t>
      </w:r>
      <w:r w:rsidR="00347AC0">
        <w:t xml:space="preserve"> pequeños comercios y autónomos</w:t>
      </w:r>
      <w:r>
        <w:t>.</w:t>
      </w:r>
    </w:p>
    <w:p w:rsidR="00403CC5" w:rsidRPr="00347AC0" w:rsidRDefault="00403CC5" w:rsidP="00403CC5">
      <w:pPr>
        <w:rPr>
          <w:b/>
        </w:rPr>
      </w:pPr>
      <w:r w:rsidRPr="00347AC0">
        <w:rPr>
          <w:b/>
        </w:rPr>
        <w:t>2. E-</w:t>
      </w:r>
      <w:proofErr w:type="spellStart"/>
      <w:r w:rsidRPr="00347AC0">
        <w:rPr>
          <w:b/>
        </w:rPr>
        <w:t>commerce</w:t>
      </w:r>
      <w:proofErr w:type="spellEnd"/>
      <w:r w:rsidRPr="00347AC0">
        <w:rPr>
          <w:b/>
        </w:rPr>
        <w:t xml:space="preserve"> transfronterizo: </w:t>
      </w:r>
      <w:r w:rsidR="00347AC0">
        <w:rPr>
          <w:b/>
        </w:rPr>
        <w:t>seguridad y c</w:t>
      </w:r>
      <w:r w:rsidRPr="00347AC0">
        <w:rPr>
          <w:b/>
        </w:rPr>
        <w:t>ostes</w:t>
      </w:r>
    </w:p>
    <w:p w:rsidR="00403CC5" w:rsidRDefault="00403CC5" w:rsidP="00403CC5">
      <w:r>
        <w:t>España destaca por una alta cuota de e-</w:t>
      </w:r>
      <w:proofErr w:type="spellStart"/>
      <w:r>
        <w:t>commerce</w:t>
      </w:r>
      <w:proofErr w:type="spellEnd"/>
      <w:r>
        <w:t xml:space="preserve"> transfronterizo: el 30% del comercio electrónico total, por encima de Reino Unido (15%) y cerca de</w:t>
      </w:r>
      <w:r w:rsidR="00347AC0">
        <w:t xml:space="preserve"> Portugal (45%) e Italia (40%)</w:t>
      </w:r>
      <w:r>
        <w:t>.</w:t>
      </w:r>
    </w:p>
    <w:p w:rsidR="00403CC5" w:rsidRDefault="00403CC5" w:rsidP="00403CC5">
      <w:r>
        <w:t>Sin embargo, solo el 38% de la población bancarizada española ha realizado compras online en comercios de fuera de la UE, uno de los porcentajes más baj</w:t>
      </w:r>
      <w:r w:rsidR="00347AC0">
        <w:t>os entre los países analizados</w:t>
      </w:r>
      <w:r>
        <w:t>.</w:t>
      </w:r>
    </w:p>
    <w:p w:rsidR="00403CC5" w:rsidRDefault="00403CC5" w:rsidP="00403CC5">
      <w:r>
        <w:t>Los principales problemas y fricciones para el consumidor español en el e-</w:t>
      </w:r>
      <w:proofErr w:type="spellStart"/>
      <w:r>
        <w:t>commerce</w:t>
      </w:r>
      <w:proofErr w:type="spellEnd"/>
      <w:r>
        <w:t xml:space="preserve"> internacional son:</w:t>
      </w:r>
    </w:p>
    <w:p w:rsidR="00403CC5" w:rsidRDefault="00403CC5" w:rsidP="00347AC0">
      <w:pPr>
        <w:pStyle w:val="Prrafodelista"/>
        <w:numPr>
          <w:ilvl w:val="0"/>
          <w:numId w:val="1"/>
        </w:numPr>
      </w:pPr>
      <w:r>
        <w:t>Costes añadidos y falta de transparencia en el tipo de cambio.</w:t>
      </w:r>
    </w:p>
    <w:p w:rsidR="00403CC5" w:rsidRDefault="00403CC5" w:rsidP="00347AC0">
      <w:pPr>
        <w:pStyle w:val="Prrafodelista"/>
        <w:numPr>
          <w:ilvl w:val="0"/>
          <w:numId w:val="1"/>
        </w:numPr>
      </w:pPr>
      <w:r>
        <w:t>Preocupaciones de seguridad en el pago (aunque menos que en Latinoamérica).</w:t>
      </w:r>
    </w:p>
    <w:p w:rsidR="00403CC5" w:rsidRDefault="00403CC5" w:rsidP="00347AC0">
      <w:pPr>
        <w:pStyle w:val="Prrafodelista"/>
        <w:numPr>
          <w:ilvl w:val="0"/>
          <w:numId w:val="1"/>
        </w:numPr>
      </w:pPr>
      <w:r>
        <w:t xml:space="preserve">Falta de opciones de pago adecuadas, </w:t>
      </w:r>
      <w:r w:rsidR="00347AC0">
        <w:t>especialmente entre los jóvenes</w:t>
      </w:r>
      <w:r>
        <w:t>.</w:t>
      </w:r>
    </w:p>
    <w:p w:rsidR="00403CC5" w:rsidRDefault="00403CC5" w:rsidP="00403CC5">
      <w:r>
        <w:t xml:space="preserve">La seguridad sigue siendo el aspecto más valorado en los medios de pago, aunque la preferencia por la rapidez y la facilidad de uso ha crecido, especialmente </w:t>
      </w:r>
      <w:r w:rsidR="00347AC0">
        <w:t>entre los consumidores jóvenes</w:t>
      </w:r>
      <w:r>
        <w:t>.</w:t>
      </w:r>
      <w:bookmarkStart w:id="0" w:name="_GoBack"/>
      <w:bookmarkEnd w:id="0"/>
    </w:p>
    <w:p w:rsidR="00403CC5" w:rsidRPr="00347AC0" w:rsidRDefault="00347AC0" w:rsidP="00403CC5">
      <w:pPr>
        <w:rPr>
          <w:b/>
        </w:rPr>
      </w:pPr>
      <w:r>
        <w:rPr>
          <w:b/>
        </w:rPr>
        <w:lastRenderedPageBreak/>
        <w:t>3. Pagos por suscripción: p</w:t>
      </w:r>
      <w:r w:rsidR="00403CC5" w:rsidRPr="00347AC0">
        <w:rPr>
          <w:b/>
        </w:rPr>
        <w:t>referencias y tendencias</w:t>
      </w:r>
    </w:p>
    <w:p w:rsidR="00403CC5" w:rsidRDefault="00403CC5" w:rsidP="00403CC5">
      <w:r>
        <w:t>España, junto con Reino Unido e Italia, presenta una penetración de pagos por suscripción inferior al 33% de la población bancarizada, por deba</w:t>
      </w:r>
      <w:r w:rsidR="00347AC0">
        <w:t>jo de la media latinoamericana</w:t>
      </w:r>
      <w:r>
        <w:t>.</w:t>
      </w:r>
    </w:p>
    <w:p w:rsidR="00403CC5" w:rsidRDefault="00403CC5" w:rsidP="00403CC5">
      <w:r>
        <w:t>Los pagos por suscripción se concentran en los jóvenes, pero en España la preferencia por la tarjeta de débito física es la más destacada para este tipo de pagos, frente a otros países donde predominan los débitos</w:t>
      </w:r>
      <w:r w:rsidR="00347AC0">
        <w:t xml:space="preserve"> directos o las transferencias</w:t>
      </w:r>
      <w:r>
        <w:t>.</w:t>
      </w:r>
    </w:p>
    <w:p w:rsidR="00403CC5" w:rsidRDefault="00403CC5" w:rsidP="00403CC5">
      <w:r>
        <w:t>Los motivos principales para elegir pagos por suscripción en España son la comodidad, rapidez y seguridad. Los descue</w:t>
      </w:r>
      <w:r w:rsidR="00347AC0">
        <w:t>ntos no son un factor decisivo</w:t>
      </w:r>
      <w:r>
        <w:t>.</w:t>
      </w:r>
    </w:p>
    <w:p w:rsidR="00403CC5" w:rsidRDefault="00403CC5" w:rsidP="00403CC5">
      <w:r>
        <w:t>Se observa una caída en el uso de transferencias bancarias para pagos por suscripción, mientras que crecen los débitos directo</w:t>
      </w:r>
      <w:r w:rsidR="00347AC0">
        <w:t>s entre los mayores de 54 años</w:t>
      </w:r>
      <w:r>
        <w:t>.</w:t>
      </w:r>
    </w:p>
    <w:p w:rsidR="00347AC0" w:rsidRDefault="00347AC0" w:rsidP="00403CC5">
      <w:pPr>
        <w:pBdr>
          <w:bottom w:val="dotted" w:sz="24" w:space="1" w:color="auto"/>
        </w:pBdr>
      </w:pPr>
    </w:p>
    <w:p w:rsidR="00347AC0" w:rsidRDefault="00347AC0" w:rsidP="00403CC5"/>
    <w:p w:rsidR="00A8173C" w:rsidRDefault="00347AC0" w:rsidP="00403CC5">
      <w:r w:rsidRPr="00347AC0">
        <w:t xml:space="preserve">El estudio, </w:t>
      </w:r>
      <w:r w:rsidRPr="00347AC0">
        <w:rPr>
          <w:b/>
        </w:rPr>
        <w:t>“Aceptación de pagos en comercios</w:t>
      </w:r>
      <w:r w:rsidRPr="00347AC0">
        <w:t xml:space="preserve">”, elaborado por </w:t>
      </w:r>
      <w:proofErr w:type="spellStart"/>
      <w:r w:rsidRPr="00347AC0">
        <w:t>Nuek</w:t>
      </w:r>
      <w:proofErr w:type="spellEnd"/>
      <w:r w:rsidRPr="00347AC0">
        <w:t xml:space="preserve"> junto a AFI (Analistas Financieros Internacionales), se basa en más de 5.200 encuestas realizadas en España, Argentina, Brasil, Chile, Colombia, Ecuador, México, Perú, República Dominicana, Uruguay, Italia, Portugal y Reino Unido. Entre sus principales hallazgos, destaca el avance acelerado del cobro digital desde dispositivos móviles en América Latina y el retraso persistente en Europa, especialmente en el comercio de proximidad.</w:t>
      </w:r>
    </w:p>
    <w:sectPr w:rsidR="00A8173C" w:rsidSect="00347AC0">
      <w:pgSz w:w="11906" w:h="16838"/>
      <w:pgMar w:top="1417" w:right="1701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E5750"/>
    <w:multiLevelType w:val="hybridMultilevel"/>
    <w:tmpl w:val="BEA8B1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C5"/>
    <w:rsid w:val="00347AC0"/>
    <w:rsid w:val="00403CC5"/>
    <w:rsid w:val="00A8173C"/>
    <w:rsid w:val="00B7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4C67"/>
  <w15:chartTrackingRefBased/>
  <w15:docId w15:val="{8349AEC8-CE98-4786-8E20-545D5CA2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556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Indra Sistemas SA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Sánchez, Cristina</dc:creator>
  <cp:keywords/>
  <dc:description/>
  <cp:lastModifiedBy>García Sánchez, Cristina</cp:lastModifiedBy>
  <cp:revision>2</cp:revision>
  <dcterms:created xsi:type="dcterms:W3CDTF">2025-09-23T07:56:00Z</dcterms:created>
  <dcterms:modified xsi:type="dcterms:W3CDTF">2025-09-25T11:47:00Z</dcterms:modified>
</cp:coreProperties>
</file>